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DDC21" w14:textId="2E33AD52" w:rsidR="003A5E3D" w:rsidRPr="003A5E3D" w:rsidRDefault="003A5E3D" w:rsidP="003A5E3D">
      <w:pPr>
        <w:spacing w:after="20" w:line="228" w:lineRule="auto"/>
        <w:jc w:val="center"/>
        <w:rPr>
          <w:rFonts w:ascii="Calibri" w:eastAsia="Calibri" w:hAnsi="Calibri" w:cs="Calibri"/>
          <w:b/>
          <w:bCs/>
          <w:color w:val="1F3864"/>
          <w:sz w:val="30"/>
          <w:szCs w:val="30"/>
        </w:rPr>
      </w:pPr>
      <w:r w:rsidRPr="003A5E3D">
        <w:rPr>
          <w:rFonts w:ascii="Calibri" w:eastAsia="Calibri" w:hAnsi="Calibri" w:cs="Calibri"/>
          <w:b/>
          <w:bCs/>
          <w:color w:val="1F3864"/>
          <w:sz w:val="30"/>
          <w:szCs w:val="30"/>
        </w:rPr>
        <w:drawing>
          <wp:inline distT="0" distB="0" distL="0" distR="0" wp14:anchorId="2C9F86A9" wp14:editId="015BC2D6">
            <wp:extent cx="2004646" cy="1386947"/>
            <wp:effectExtent l="0" t="0" r="0" b="3810"/>
            <wp:docPr id="475893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037" cy="1392753"/>
                    </a:xfrm>
                    <a:prstGeom prst="rect">
                      <a:avLst/>
                    </a:prstGeom>
                    <a:noFill/>
                    <a:ln>
                      <a:noFill/>
                    </a:ln>
                  </pic:spPr>
                </pic:pic>
              </a:graphicData>
            </a:graphic>
          </wp:inline>
        </w:drawing>
      </w:r>
    </w:p>
    <w:p w14:paraId="182072A1" w14:textId="1CBFC452" w:rsidR="00FF0C10" w:rsidRDefault="00437F02">
      <w:pPr>
        <w:spacing w:after="20" w:line="228" w:lineRule="auto"/>
      </w:pPr>
      <w:r>
        <w:rPr>
          <w:rFonts w:ascii="Calibri" w:eastAsia="Calibri" w:hAnsi="Calibri" w:cs="Calibri"/>
          <w:b/>
          <w:bCs/>
          <w:color w:val="1F3864"/>
          <w:sz w:val="30"/>
          <w:szCs w:val="30"/>
        </w:rPr>
        <w:t>Investing in your home</w:t>
      </w:r>
    </w:p>
    <w:p w14:paraId="2FDA3799" w14:textId="77777777" w:rsidR="00FF0C10" w:rsidRDefault="00437F02">
      <w:pPr>
        <w:spacing w:after="20" w:line="228" w:lineRule="auto"/>
      </w:pPr>
      <w:r>
        <w:rPr>
          <w:rFonts w:ascii="Calibri" w:eastAsia="Calibri" w:hAnsi="Calibri" w:cs="Calibri"/>
          <w:color w:val="2E5C8A"/>
        </w:rPr>
        <w:t>The ten-year asset plan, 2026/27 to 2035/36</w:t>
      </w:r>
    </w:p>
    <w:p w14:paraId="6193A965" w14:textId="77777777" w:rsidR="00FF0C10" w:rsidRDefault="00437F02">
      <w:pPr>
        <w:pBdr>
          <w:bottom w:val="single" w:sz="8" w:space="6" w:color="1F3864"/>
        </w:pBdr>
        <w:spacing w:after="140" w:line="228" w:lineRule="auto"/>
      </w:pPr>
      <w:r>
        <w:rPr>
          <w:rFonts w:ascii="Calibri" w:eastAsia="Calibri" w:hAnsi="Calibri" w:cs="Calibri"/>
          <w:i/>
          <w:iCs/>
          <w:color w:val="595959"/>
          <w:sz w:val="15"/>
          <w:szCs w:val="15"/>
        </w:rPr>
        <w:t xml:space="preserve">Homes for Life Housing </w:t>
      </w:r>
      <w:proofErr w:type="gramStart"/>
      <w:r>
        <w:rPr>
          <w:rFonts w:ascii="Calibri" w:eastAsia="Calibri" w:hAnsi="Calibri" w:cs="Calibri"/>
          <w:i/>
          <w:iCs/>
          <w:color w:val="595959"/>
          <w:sz w:val="15"/>
          <w:szCs w:val="15"/>
        </w:rPr>
        <w:t>Partnership  ·</w:t>
      </w:r>
      <w:proofErr w:type="gramEnd"/>
      <w:r>
        <w:rPr>
          <w:rFonts w:ascii="Calibri" w:eastAsia="Calibri" w:hAnsi="Calibri" w:cs="Calibri"/>
          <w:i/>
          <w:iCs/>
          <w:color w:val="595959"/>
          <w:sz w:val="15"/>
          <w:szCs w:val="15"/>
        </w:rPr>
        <w:t xml:space="preserve">  Annual General Meeting</w:t>
      </w:r>
    </w:p>
    <w:p w14:paraId="78D66619" w14:textId="77777777" w:rsidR="00FF0C10" w:rsidRDefault="00437F02">
      <w:pPr>
        <w:spacing w:after="120" w:line="228" w:lineRule="auto"/>
      </w:pPr>
      <w:r>
        <w:rPr>
          <w:rFonts w:ascii="Calibri" w:eastAsia="Calibri" w:hAnsi="Calibri" w:cs="Calibri"/>
          <w:color w:val="000000"/>
          <w:sz w:val="19"/>
          <w:szCs w:val="19"/>
        </w:rPr>
        <w:t xml:space="preserve">We own and manage </w:t>
      </w:r>
      <w:r>
        <w:rPr>
          <w:rFonts w:ascii="Calibri" w:eastAsia="Calibri" w:hAnsi="Calibri" w:cs="Calibri"/>
          <w:b/>
          <w:bCs/>
          <w:color w:val="000000"/>
          <w:sz w:val="19"/>
          <w:szCs w:val="19"/>
        </w:rPr>
        <w:t>304 homes</w:t>
      </w:r>
      <w:r>
        <w:rPr>
          <w:rFonts w:ascii="Calibri" w:eastAsia="Calibri" w:hAnsi="Calibri" w:cs="Calibri"/>
          <w:color w:val="000000"/>
          <w:sz w:val="19"/>
          <w:szCs w:val="19"/>
        </w:rPr>
        <w:t xml:space="preserve"> across 32 communities in East Lothian. This is our plan for keeping them warm, safe and affordable over the next ten years: </w:t>
      </w:r>
      <w:r>
        <w:rPr>
          <w:rFonts w:ascii="Calibri" w:eastAsia="Calibri" w:hAnsi="Calibri" w:cs="Calibri"/>
          <w:b/>
          <w:bCs/>
          <w:color w:val="000000"/>
          <w:sz w:val="19"/>
          <w:szCs w:val="19"/>
        </w:rPr>
        <w:t>£9.1 million</w:t>
      </w:r>
      <w:r>
        <w:rPr>
          <w:rFonts w:ascii="Calibri" w:eastAsia="Calibri" w:hAnsi="Calibri" w:cs="Calibri"/>
          <w:color w:val="000000"/>
          <w:sz w:val="19"/>
          <w:szCs w:val="19"/>
        </w:rPr>
        <w:t xml:space="preserve"> of investment, set out home by home and year by year.</w:t>
      </w:r>
    </w:p>
    <w:p w14:paraId="5417C830" w14:textId="77777777" w:rsidR="00FF0C10" w:rsidRDefault="00437F02">
      <w:pPr>
        <w:spacing w:before="60" w:after="60" w:line="228" w:lineRule="auto"/>
      </w:pPr>
      <w:r>
        <w:rPr>
          <w:rFonts w:ascii="Calibri" w:eastAsia="Calibri" w:hAnsi="Calibri" w:cs="Calibri"/>
          <w:b/>
          <w:bCs/>
          <w:color w:val="1F3864"/>
          <w:sz w:val="18"/>
          <w:szCs w:val="18"/>
        </w:rPr>
        <w:t>OUR FIVE PRIORITIES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
        <w:gridCol w:w="9620"/>
      </w:tblGrid>
      <w:tr w:rsidR="00FF0C10" w14:paraId="40316221" w14:textId="77777777">
        <w:tblPrEx>
          <w:tblCellMar>
            <w:top w:w="0" w:type="dxa"/>
            <w:bottom w:w="0" w:type="dxa"/>
          </w:tblCellMar>
        </w:tblPrEx>
        <w:tc>
          <w:tcPr>
            <w:tcW w:w="460" w:type="dxa"/>
            <w:tcBorders>
              <w:top w:val="none" w:sz="0" w:space="0" w:color="FFFFFF"/>
              <w:left w:val="none" w:sz="0" w:space="0" w:color="FFFFFF"/>
              <w:bottom w:val="none" w:sz="0" w:space="0" w:color="FFFFFF"/>
              <w:right w:val="none" w:sz="0" w:space="0" w:color="FFFFFF"/>
            </w:tcBorders>
            <w:tcMar>
              <w:top w:w="40" w:type="dxa"/>
              <w:left w:w="60" w:type="dxa"/>
              <w:bottom w:w="40" w:type="dxa"/>
              <w:right w:w="40" w:type="dxa"/>
            </w:tcMar>
          </w:tcPr>
          <w:p w14:paraId="2F67C410" w14:textId="77777777" w:rsidR="00FF0C10" w:rsidRDefault="00437F02">
            <w:pPr>
              <w:spacing w:line="228" w:lineRule="auto"/>
            </w:pPr>
            <w:r>
              <w:rPr>
                <w:rFonts w:ascii="Calibri" w:eastAsia="Calibri" w:hAnsi="Calibri" w:cs="Calibri"/>
                <w:b/>
                <w:bCs/>
                <w:color w:val="2E5C8A"/>
                <w:sz w:val="22"/>
                <w:szCs w:val="22"/>
              </w:rPr>
              <w:t>1</w:t>
            </w:r>
          </w:p>
        </w:tc>
        <w:tc>
          <w:tcPr>
            <w:tcW w:w="9620" w:type="dxa"/>
            <w:tcBorders>
              <w:top w:val="none" w:sz="0" w:space="0" w:color="FFFFFF"/>
              <w:left w:val="none" w:sz="0" w:space="0" w:color="FFFFFF"/>
              <w:bottom w:val="none" w:sz="0" w:space="0" w:color="FFFFFF"/>
              <w:right w:val="none" w:sz="0" w:space="0" w:color="FFFFFF"/>
            </w:tcBorders>
            <w:tcMar>
              <w:top w:w="40" w:type="dxa"/>
              <w:left w:w="0" w:type="dxa"/>
              <w:bottom w:w="40" w:type="dxa"/>
              <w:right w:w="60" w:type="dxa"/>
            </w:tcMar>
          </w:tcPr>
          <w:p w14:paraId="3AD95F7F" w14:textId="77777777" w:rsidR="00FF0C10" w:rsidRDefault="00437F02">
            <w:pPr>
              <w:spacing w:line="228" w:lineRule="auto"/>
            </w:pPr>
            <w:r>
              <w:rPr>
                <w:rFonts w:ascii="Calibri" w:eastAsia="Calibri" w:hAnsi="Calibri" w:cs="Calibri"/>
                <w:b/>
                <w:bCs/>
                <w:color w:val="1F3864"/>
                <w:sz w:val="19"/>
                <w:szCs w:val="19"/>
              </w:rPr>
              <w:t xml:space="preserve">Safety comes first.  </w:t>
            </w:r>
            <w:r>
              <w:rPr>
                <w:rFonts w:ascii="Calibri" w:eastAsia="Calibri" w:hAnsi="Calibri" w:cs="Calibri"/>
                <w:color w:val="000000"/>
                <w:sz w:val="19"/>
                <w:szCs w:val="19"/>
              </w:rPr>
              <w:t>Smoke and heat alarms, electrical rewiring and reliable heating are never deferred for financial reasons. Every home's detection system is renewed across the plan.</w:t>
            </w:r>
          </w:p>
        </w:tc>
      </w:tr>
      <w:tr w:rsidR="00FF0C10" w14:paraId="22C19CC8" w14:textId="77777777">
        <w:tblPrEx>
          <w:tblCellMar>
            <w:top w:w="0" w:type="dxa"/>
            <w:bottom w:w="0" w:type="dxa"/>
          </w:tblCellMar>
        </w:tblPrEx>
        <w:tc>
          <w:tcPr>
            <w:tcW w:w="460" w:type="dxa"/>
            <w:tcBorders>
              <w:top w:val="none" w:sz="0" w:space="0" w:color="FFFFFF"/>
              <w:left w:val="none" w:sz="0" w:space="0" w:color="FFFFFF"/>
              <w:bottom w:val="none" w:sz="0" w:space="0" w:color="FFFFFF"/>
              <w:right w:val="none" w:sz="0" w:space="0" w:color="FFFFFF"/>
            </w:tcBorders>
            <w:tcMar>
              <w:top w:w="40" w:type="dxa"/>
              <w:left w:w="60" w:type="dxa"/>
              <w:bottom w:w="40" w:type="dxa"/>
              <w:right w:w="40" w:type="dxa"/>
            </w:tcMar>
          </w:tcPr>
          <w:p w14:paraId="418E6168" w14:textId="77777777" w:rsidR="00FF0C10" w:rsidRDefault="00437F02">
            <w:pPr>
              <w:spacing w:line="228" w:lineRule="auto"/>
            </w:pPr>
            <w:r>
              <w:rPr>
                <w:rFonts w:ascii="Calibri" w:eastAsia="Calibri" w:hAnsi="Calibri" w:cs="Calibri"/>
                <w:b/>
                <w:bCs/>
                <w:color w:val="2E5C8A"/>
                <w:sz w:val="22"/>
                <w:szCs w:val="22"/>
              </w:rPr>
              <w:t>2</w:t>
            </w:r>
          </w:p>
        </w:tc>
        <w:tc>
          <w:tcPr>
            <w:tcW w:w="9620" w:type="dxa"/>
            <w:tcBorders>
              <w:top w:val="none" w:sz="0" w:space="0" w:color="FFFFFF"/>
              <w:left w:val="none" w:sz="0" w:space="0" w:color="FFFFFF"/>
              <w:bottom w:val="none" w:sz="0" w:space="0" w:color="FFFFFF"/>
              <w:right w:val="none" w:sz="0" w:space="0" w:color="FFFFFF"/>
            </w:tcBorders>
            <w:tcMar>
              <w:top w:w="40" w:type="dxa"/>
              <w:left w:w="0" w:type="dxa"/>
              <w:bottom w:w="40" w:type="dxa"/>
              <w:right w:w="60" w:type="dxa"/>
            </w:tcMar>
          </w:tcPr>
          <w:p w14:paraId="0E3BAF52" w14:textId="77777777" w:rsidR="00FF0C10" w:rsidRDefault="00437F02">
            <w:pPr>
              <w:spacing w:line="228" w:lineRule="auto"/>
            </w:pPr>
            <w:r>
              <w:rPr>
                <w:rFonts w:ascii="Calibri" w:eastAsia="Calibri" w:hAnsi="Calibri" w:cs="Calibri"/>
                <w:b/>
                <w:bCs/>
                <w:color w:val="1F3864"/>
                <w:sz w:val="19"/>
                <w:szCs w:val="19"/>
              </w:rPr>
              <w:t xml:space="preserve">Warmer homes and lower bills.  </w:t>
            </w:r>
            <w:r>
              <w:rPr>
                <w:rFonts w:ascii="Calibri" w:eastAsia="Calibri" w:hAnsi="Calibri" w:cs="Calibri"/>
                <w:color w:val="000000"/>
                <w:sz w:val="19"/>
                <w:szCs w:val="19"/>
              </w:rPr>
              <w:t>Insulation, new windows and doors, solar panels, batteries and a move away from gas heating. This matters most to the third of our homes heated by electricity, where every unit of energy costs three to four times what it does on gas.</w:t>
            </w:r>
          </w:p>
        </w:tc>
      </w:tr>
      <w:tr w:rsidR="00FF0C10" w14:paraId="7B7E7EC9" w14:textId="77777777">
        <w:tblPrEx>
          <w:tblCellMar>
            <w:top w:w="0" w:type="dxa"/>
            <w:bottom w:w="0" w:type="dxa"/>
          </w:tblCellMar>
        </w:tblPrEx>
        <w:tc>
          <w:tcPr>
            <w:tcW w:w="460" w:type="dxa"/>
            <w:tcBorders>
              <w:top w:val="none" w:sz="0" w:space="0" w:color="FFFFFF"/>
              <w:left w:val="none" w:sz="0" w:space="0" w:color="FFFFFF"/>
              <w:bottom w:val="none" w:sz="0" w:space="0" w:color="FFFFFF"/>
              <w:right w:val="none" w:sz="0" w:space="0" w:color="FFFFFF"/>
            </w:tcBorders>
            <w:tcMar>
              <w:top w:w="40" w:type="dxa"/>
              <w:left w:w="60" w:type="dxa"/>
              <w:bottom w:w="40" w:type="dxa"/>
              <w:right w:w="40" w:type="dxa"/>
            </w:tcMar>
          </w:tcPr>
          <w:p w14:paraId="78A85CC6" w14:textId="77777777" w:rsidR="00FF0C10" w:rsidRDefault="00437F02">
            <w:pPr>
              <w:spacing w:line="228" w:lineRule="auto"/>
            </w:pPr>
            <w:r>
              <w:rPr>
                <w:rFonts w:ascii="Calibri" w:eastAsia="Calibri" w:hAnsi="Calibri" w:cs="Calibri"/>
                <w:b/>
                <w:bCs/>
                <w:color w:val="2E5C8A"/>
                <w:sz w:val="22"/>
                <w:szCs w:val="22"/>
              </w:rPr>
              <w:t>3</w:t>
            </w:r>
          </w:p>
        </w:tc>
        <w:tc>
          <w:tcPr>
            <w:tcW w:w="9620" w:type="dxa"/>
            <w:tcBorders>
              <w:top w:val="none" w:sz="0" w:space="0" w:color="FFFFFF"/>
              <w:left w:val="none" w:sz="0" w:space="0" w:color="FFFFFF"/>
              <w:bottom w:val="none" w:sz="0" w:space="0" w:color="FFFFFF"/>
              <w:right w:val="none" w:sz="0" w:space="0" w:color="FFFFFF"/>
            </w:tcBorders>
            <w:tcMar>
              <w:top w:w="40" w:type="dxa"/>
              <w:left w:w="0" w:type="dxa"/>
              <w:bottom w:w="40" w:type="dxa"/>
              <w:right w:w="60" w:type="dxa"/>
            </w:tcMar>
          </w:tcPr>
          <w:p w14:paraId="6DFC1A01" w14:textId="77777777" w:rsidR="00FF0C10" w:rsidRDefault="00437F02">
            <w:pPr>
              <w:spacing w:line="228" w:lineRule="auto"/>
            </w:pPr>
            <w:r>
              <w:rPr>
                <w:rFonts w:ascii="Calibri" w:eastAsia="Calibri" w:hAnsi="Calibri" w:cs="Calibri"/>
                <w:b/>
                <w:bCs/>
                <w:color w:val="1F3864"/>
                <w:sz w:val="19"/>
                <w:szCs w:val="19"/>
              </w:rPr>
              <w:t xml:space="preserve">One visit, not five.  </w:t>
            </w:r>
            <w:r>
              <w:rPr>
                <w:rFonts w:ascii="Calibri" w:eastAsia="Calibri" w:hAnsi="Calibri" w:cs="Calibri"/>
                <w:color w:val="000000"/>
                <w:sz w:val="19"/>
                <w:szCs w:val="19"/>
              </w:rPr>
              <w:t xml:space="preserve">Work is grouped by street or court so that when contractors </w:t>
            </w:r>
            <w:proofErr w:type="gramStart"/>
            <w:r>
              <w:rPr>
                <w:rFonts w:ascii="Calibri" w:eastAsia="Calibri" w:hAnsi="Calibri" w:cs="Calibri"/>
                <w:color w:val="000000"/>
                <w:sz w:val="19"/>
                <w:szCs w:val="19"/>
              </w:rPr>
              <w:t>arrive</w:t>
            </w:r>
            <w:proofErr w:type="gramEnd"/>
            <w:r>
              <w:rPr>
                <w:rFonts w:ascii="Calibri" w:eastAsia="Calibri" w:hAnsi="Calibri" w:cs="Calibri"/>
                <w:color w:val="000000"/>
                <w:sz w:val="19"/>
                <w:szCs w:val="19"/>
              </w:rPr>
              <w:t xml:space="preserve"> they do everything that home needs — rather than returning year after year. It costs less and disrupts you less.</w:t>
            </w:r>
          </w:p>
        </w:tc>
      </w:tr>
      <w:tr w:rsidR="00FF0C10" w14:paraId="32180271" w14:textId="77777777">
        <w:tblPrEx>
          <w:tblCellMar>
            <w:top w:w="0" w:type="dxa"/>
            <w:bottom w:w="0" w:type="dxa"/>
          </w:tblCellMar>
        </w:tblPrEx>
        <w:tc>
          <w:tcPr>
            <w:tcW w:w="460" w:type="dxa"/>
            <w:tcBorders>
              <w:top w:val="none" w:sz="0" w:space="0" w:color="FFFFFF"/>
              <w:left w:val="none" w:sz="0" w:space="0" w:color="FFFFFF"/>
              <w:bottom w:val="none" w:sz="0" w:space="0" w:color="FFFFFF"/>
              <w:right w:val="none" w:sz="0" w:space="0" w:color="FFFFFF"/>
            </w:tcBorders>
            <w:tcMar>
              <w:top w:w="40" w:type="dxa"/>
              <w:left w:w="60" w:type="dxa"/>
              <w:bottom w:w="40" w:type="dxa"/>
              <w:right w:w="40" w:type="dxa"/>
            </w:tcMar>
          </w:tcPr>
          <w:p w14:paraId="3ED2F0E9" w14:textId="77777777" w:rsidR="00FF0C10" w:rsidRDefault="00437F02">
            <w:pPr>
              <w:spacing w:line="228" w:lineRule="auto"/>
            </w:pPr>
            <w:r>
              <w:rPr>
                <w:rFonts w:ascii="Calibri" w:eastAsia="Calibri" w:hAnsi="Calibri" w:cs="Calibri"/>
                <w:b/>
                <w:bCs/>
                <w:color w:val="2E5C8A"/>
                <w:sz w:val="22"/>
                <w:szCs w:val="22"/>
              </w:rPr>
              <w:t>4</w:t>
            </w:r>
          </w:p>
        </w:tc>
        <w:tc>
          <w:tcPr>
            <w:tcW w:w="9620" w:type="dxa"/>
            <w:tcBorders>
              <w:top w:val="none" w:sz="0" w:space="0" w:color="FFFFFF"/>
              <w:left w:val="none" w:sz="0" w:space="0" w:color="FFFFFF"/>
              <w:bottom w:val="none" w:sz="0" w:space="0" w:color="FFFFFF"/>
              <w:right w:val="none" w:sz="0" w:space="0" w:color="FFFFFF"/>
            </w:tcBorders>
            <w:tcMar>
              <w:top w:w="40" w:type="dxa"/>
              <w:left w:w="0" w:type="dxa"/>
              <w:bottom w:w="40" w:type="dxa"/>
              <w:right w:w="60" w:type="dxa"/>
            </w:tcMar>
          </w:tcPr>
          <w:p w14:paraId="3D70F948" w14:textId="77777777" w:rsidR="00FF0C10" w:rsidRDefault="00437F02">
            <w:pPr>
              <w:spacing w:line="228" w:lineRule="auto"/>
            </w:pPr>
            <w:r>
              <w:rPr>
                <w:rFonts w:ascii="Calibri" w:eastAsia="Calibri" w:hAnsi="Calibri" w:cs="Calibri"/>
                <w:b/>
                <w:bCs/>
                <w:color w:val="1F3864"/>
                <w:sz w:val="19"/>
                <w:szCs w:val="19"/>
              </w:rPr>
              <w:t xml:space="preserve">Decisions based on evidence, not assumptions.  </w:t>
            </w:r>
            <w:r>
              <w:rPr>
                <w:rFonts w:ascii="Calibri" w:eastAsia="Calibri" w:hAnsi="Calibri" w:cs="Calibri"/>
                <w:color w:val="000000"/>
                <w:sz w:val="19"/>
                <w:szCs w:val="19"/>
              </w:rPr>
              <w:t>A full stock condition survey is under way. Until surveyors have been inside, the dates in this plan are estimates, and we would rather say so than pretend otherwise.</w:t>
            </w:r>
          </w:p>
        </w:tc>
      </w:tr>
      <w:tr w:rsidR="00FF0C10" w14:paraId="519FA38C" w14:textId="77777777">
        <w:tblPrEx>
          <w:tblCellMar>
            <w:top w:w="0" w:type="dxa"/>
            <w:bottom w:w="0" w:type="dxa"/>
          </w:tblCellMar>
        </w:tblPrEx>
        <w:tc>
          <w:tcPr>
            <w:tcW w:w="460" w:type="dxa"/>
            <w:tcBorders>
              <w:top w:val="none" w:sz="0" w:space="0" w:color="FFFFFF"/>
              <w:left w:val="none" w:sz="0" w:space="0" w:color="FFFFFF"/>
              <w:bottom w:val="none" w:sz="0" w:space="0" w:color="FFFFFF"/>
              <w:right w:val="none" w:sz="0" w:space="0" w:color="FFFFFF"/>
            </w:tcBorders>
            <w:tcMar>
              <w:top w:w="40" w:type="dxa"/>
              <w:left w:w="60" w:type="dxa"/>
              <w:bottom w:w="40" w:type="dxa"/>
              <w:right w:w="40" w:type="dxa"/>
            </w:tcMar>
          </w:tcPr>
          <w:p w14:paraId="5E22873C" w14:textId="77777777" w:rsidR="00FF0C10" w:rsidRDefault="00437F02">
            <w:pPr>
              <w:spacing w:line="228" w:lineRule="auto"/>
            </w:pPr>
            <w:r>
              <w:rPr>
                <w:rFonts w:ascii="Calibri" w:eastAsia="Calibri" w:hAnsi="Calibri" w:cs="Calibri"/>
                <w:b/>
                <w:bCs/>
                <w:color w:val="2E5C8A"/>
                <w:sz w:val="22"/>
                <w:szCs w:val="22"/>
              </w:rPr>
              <w:t>5</w:t>
            </w:r>
          </w:p>
        </w:tc>
        <w:tc>
          <w:tcPr>
            <w:tcW w:w="9620" w:type="dxa"/>
            <w:tcBorders>
              <w:top w:val="none" w:sz="0" w:space="0" w:color="FFFFFF"/>
              <w:left w:val="none" w:sz="0" w:space="0" w:color="FFFFFF"/>
              <w:bottom w:val="none" w:sz="0" w:space="0" w:color="FFFFFF"/>
              <w:right w:val="none" w:sz="0" w:space="0" w:color="FFFFFF"/>
            </w:tcBorders>
            <w:tcMar>
              <w:top w:w="40" w:type="dxa"/>
              <w:left w:w="0" w:type="dxa"/>
              <w:bottom w:w="40" w:type="dxa"/>
              <w:right w:w="60" w:type="dxa"/>
            </w:tcMar>
          </w:tcPr>
          <w:p w14:paraId="6DAAEEFF" w14:textId="77777777" w:rsidR="00FF0C10" w:rsidRDefault="00437F02">
            <w:pPr>
              <w:spacing w:line="228" w:lineRule="auto"/>
            </w:pPr>
            <w:r>
              <w:rPr>
                <w:rFonts w:ascii="Calibri" w:eastAsia="Calibri" w:hAnsi="Calibri" w:cs="Calibri"/>
                <w:b/>
                <w:bCs/>
                <w:color w:val="1F3864"/>
                <w:sz w:val="19"/>
                <w:szCs w:val="19"/>
              </w:rPr>
              <w:t xml:space="preserve">Honest about what we can afford.  </w:t>
            </w:r>
            <w:r>
              <w:rPr>
                <w:rFonts w:ascii="Calibri" w:eastAsia="Calibri" w:hAnsi="Calibri" w:cs="Calibri"/>
                <w:color w:val="000000"/>
                <w:sz w:val="19"/>
                <w:szCs w:val="19"/>
              </w:rPr>
              <w:t xml:space="preserve">About £3.5 million of the £9.1 million comes from rent we set aside each year. The rest depends on grant funding and borrowing — which is why the £131,826 we have just won for </w:t>
            </w:r>
            <w:proofErr w:type="spellStart"/>
            <w:r>
              <w:rPr>
                <w:rFonts w:ascii="Calibri" w:eastAsia="Calibri" w:hAnsi="Calibri" w:cs="Calibri"/>
                <w:color w:val="000000"/>
                <w:sz w:val="19"/>
                <w:szCs w:val="19"/>
              </w:rPr>
              <w:t>Limeylands</w:t>
            </w:r>
            <w:proofErr w:type="spellEnd"/>
            <w:r>
              <w:rPr>
                <w:rFonts w:ascii="Calibri" w:eastAsia="Calibri" w:hAnsi="Calibri" w:cs="Calibri"/>
                <w:color w:val="000000"/>
                <w:sz w:val="19"/>
                <w:szCs w:val="19"/>
              </w:rPr>
              <w:t xml:space="preserve"> Court matters so much.</w:t>
            </w:r>
          </w:p>
        </w:tc>
      </w:tr>
    </w:tbl>
    <w:p w14:paraId="745215E3" w14:textId="77777777" w:rsidR="00FF0C10" w:rsidRDefault="00437F02">
      <w:pPr>
        <w:spacing w:before="160" w:after="70" w:line="228" w:lineRule="auto"/>
      </w:pPr>
      <w:r>
        <w:rPr>
          <w:rFonts w:ascii="Calibri" w:eastAsia="Calibri" w:hAnsi="Calibri" w:cs="Calibri"/>
          <w:b/>
          <w:bCs/>
          <w:color w:val="1F3864"/>
          <w:sz w:val="18"/>
          <w:szCs w:val="18"/>
        </w:rPr>
        <w:t>THE MAIN WORKS, YEAR BY YEAR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1080"/>
        <w:gridCol w:w="1180"/>
        <w:gridCol w:w="7200"/>
      </w:tblGrid>
      <w:tr w:rsidR="00FF0C10" w14:paraId="317E697A" w14:textId="77777777">
        <w:tblPrEx>
          <w:tblCellMar>
            <w:top w:w="0" w:type="dxa"/>
            <w:bottom w:w="0" w:type="dxa"/>
          </w:tblCellMar>
        </w:tblPrEx>
        <w:trPr>
          <w:tblHeader/>
        </w:trPr>
        <w:tc>
          <w:tcPr>
            <w:tcW w:w="620" w:type="dxa"/>
            <w:tcBorders>
              <w:top w:val="none" w:sz="0" w:space="0" w:color="FFFFFF"/>
              <w:left w:val="none" w:sz="0" w:space="0" w:color="FFFFFF"/>
              <w:bottom w:val="none" w:sz="0" w:space="0" w:color="FFFFFF"/>
              <w:right w:val="none" w:sz="0" w:space="0" w:color="FFFFFF"/>
            </w:tcBorders>
            <w:shd w:val="clear" w:color="auto" w:fill="1F3864"/>
            <w:tcMar>
              <w:top w:w="60" w:type="dxa"/>
              <w:left w:w="90" w:type="dxa"/>
              <w:bottom w:w="60" w:type="dxa"/>
              <w:right w:w="90" w:type="dxa"/>
            </w:tcMar>
          </w:tcPr>
          <w:p w14:paraId="0C1E921D" w14:textId="77777777" w:rsidR="00FF0C10" w:rsidRDefault="00437F02">
            <w:pPr>
              <w:spacing w:line="228" w:lineRule="auto"/>
            </w:pPr>
            <w:r>
              <w:rPr>
                <w:rFonts w:ascii="Calibri" w:eastAsia="Calibri" w:hAnsi="Calibri" w:cs="Calibri"/>
                <w:b/>
                <w:bCs/>
                <w:color w:val="FFFFFF"/>
                <w:sz w:val="17"/>
                <w:szCs w:val="17"/>
              </w:rPr>
              <w:t>Year</w:t>
            </w:r>
          </w:p>
        </w:tc>
        <w:tc>
          <w:tcPr>
            <w:tcW w:w="1080" w:type="dxa"/>
            <w:tcBorders>
              <w:top w:val="none" w:sz="0" w:space="0" w:color="FFFFFF"/>
              <w:left w:val="none" w:sz="0" w:space="0" w:color="FFFFFF"/>
              <w:bottom w:val="none" w:sz="0" w:space="0" w:color="FFFFFF"/>
              <w:right w:val="none" w:sz="0" w:space="0" w:color="FFFFFF"/>
            </w:tcBorders>
            <w:shd w:val="clear" w:color="auto" w:fill="1F3864"/>
            <w:tcMar>
              <w:top w:w="60" w:type="dxa"/>
              <w:left w:w="90" w:type="dxa"/>
              <w:bottom w:w="60" w:type="dxa"/>
              <w:right w:w="90" w:type="dxa"/>
            </w:tcMar>
          </w:tcPr>
          <w:p w14:paraId="0BD824B3" w14:textId="77777777" w:rsidR="00FF0C10" w:rsidRDefault="00437F02">
            <w:pPr>
              <w:spacing w:line="228" w:lineRule="auto"/>
            </w:pPr>
            <w:r>
              <w:rPr>
                <w:rFonts w:ascii="Calibri" w:eastAsia="Calibri" w:hAnsi="Calibri" w:cs="Calibri"/>
                <w:b/>
                <w:bCs/>
                <w:color w:val="FFFFFF"/>
                <w:sz w:val="17"/>
                <w:szCs w:val="17"/>
              </w:rPr>
              <w:t>From</w:t>
            </w:r>
          </w:p>
        </w:tc>
        <w:tc>
          <w:tcPr>
            <w:tcW w:w="1180" w:type="dxa"/>
            <w:tcBorders>
              <w:top w:val="none" w:sz="0" w:space="0" w:color="FFFFFF"/>
              <w:left w:val="none" w:sz="0" w:space="0" w:color="FFFFFF"/>
              <w:bottom w:val="none" w:sz="0" w:space="0" w:color="FFFFFF"/>
              <w:right w:val="none" w:sz="0" w:space="0" w:color="FFFFFF"/>
            </w:tcBorders>
            <w:shd w:val="clear" w:color="auto" w:fill="1F3864"/>
            <w:tcMar>
              <w:top w:w="60" w:type="dxa"/>
              <w:left w:w="90" w:type="dxa"/>
              <w:bottom w:w="60" w:type="dxa"/>
              <w:right w:w="90" w:type="dxa"/>
            </w:tcMar>
          </w:tcPr>
          <w:p w14:paraId="7E04A969" w14:textId="77777777" w:rsidR="00FF0C10" w:rsidRDefault="00437F02">
            <w:pPr>
              <w:spacing w:line="228" w:lineRule="auto"/>
            </w:pPr>
            <w:r>
              <w:rPr>
                <w:rFonts w:ascii="Calibri" w:eastAsia="Calibri" w:hAnsi="Calibri" w:cs="Calibri"/>
                <w:b/>
                <w:bCs/>
                <w:color w:val="FFFFFF"/>
                <w:sz w:val="17"/>
                <w:szCs w:val="17"/>
              </w:rPr>
              <w:t>Investment</w:t>
            </w:r>
          </w:p>
        </w:tc>
        <w:tc>
          <w:tcPr>
            <w:tcW w:w="7200" w:type="dxa"/>
            <w:tcBorders>
              <w:top w:val="none" w:sz="0" w:space="0" w:color="FFFFFF"/>
              <w:left w:val="none" w:sz="0" w:space="0" w:color="FFFFFF"/>
              <w:bottom w:val="none" w:sz="0" w:space="0" w:color="FFFFFF"/>
              <w:right w:val="none" w:sz="0" w:space="0" w:color="FFFFFF"/>
            </w:tcBorders>
            <w:shd w:val="clear" w:color="auto" w:fill="1F3864"/>
            <w:tcMar>
              <w:top w:w="60" w:type="dxa"/>
              <w:left w:w="90" w:type="dxa"/>
              <w:bottom w:w="60" w:type="dxa"/>
              <w:right w:w="90" w:type="dxa"/>
            </w:tcMar>
          </w:tcPr>
          <w:p w14:paraId="13E41ECD" w14:textId="77777777" w:rsidR="00FF0C10" w:rsidRDefault="00437F02">
            <w:pPr>
              <w:spacing w:line="228" w:lineRule="auto"/>
            </w:pPr>
            <w:r>
              <w:rPr>
                <w:rFonts w:ascii="Calibri" w:eastAsia="Calibri" w:hAnsi="Calibri" w:cs="Calibri"/>
                <w:b/>
                <w:bCs/>
                <w:color w:val="FFFFFF"/>
                <w:sz w:val="17"/>
                <w:szCs w:val="17"/>
              </w:rPr>
              <w:t>Main works and where they happen</w:t>
            </w:r>
          </w:p>
        </w:tc>
      </w:tr>
      <w:tr w:rsidR="00FF0C10" w14:paraId="271457AB"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59A14057" w14:textId="77777777" w:rsidR="00FF0C10" w:rsidRDefault="00437F02">
            <w:pPr>
              <w:spacing w:line="228" w:lineRule="auto"/>
            </w:pPr>
            <w:r>
              <w:rPr>
                <w:rFonts w:ascii="Calibri" w:eastAsia="Calibri" w:hAnsi="Calibri" w:cs="Calibri"/>
                <w:b/>
                <w:bCs/>
                <w:color w:val="2E5C8A"/>
                <w:sz w:val="18"/>
                <w:szCs w:val="18"/>
              </w:rPr>
              <w:t>1</w:t>
            </w:r>
          </w:p>
        </w:tc>
        <w:tc>
          <w:tcPr>
            <w:tcW w:w="10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1A2E2D56" w14:textId="77777777" w:rsidR="00FF0C10" w:rsidRDefault="00437F02">
            <w:pPr>
              <w:spacing w:line="228" w:lineRule="auto"/>
            </w:pPr>
            <w:r>
              <w:rPr>
                <w:rFonts w:ascii="Calibri" w:eastAsia="Calibri" w:hAnsi="Calibri" w:cs="Calibri"/>
                <w:b/>
                <w:bCs/>
                <w:color w:val="000000"/>
                <w:sz w:val="17"/>
                <w:szCs w:val="17"/>
              </w:rPr>
              <w:t>2026/27</w:t>
            </w:r>
          </w:p>
        </w:tc>
        <w:tc>
          <w:tcPr>
            <w:tcW w:w="11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788E0D03" w14:textId="77777777" w:rsidR="00FF0C10" w:rsidRDefault="00437F02">
            <w:pPr>
              <w:spacing w:line="228" w:lineRule="auto"/>
            </w:pPr>
            <w:r>
              <w:rPr>
                <w:rFonts w:ascii="Calibri" w:eastAsia="Calibri" w:hAnsi="Calibri" w:cs="Calibri"/>
                <w:b/>
                <w:bCs/>
                <w:color w:val="1F3864"/>
                <w:sz w:val="17"/>
                <w:szCs w:val="17"/>
              </w:rPr>
              <w:t>£342,000</w:t>
            </w:r>
          </w:p>
        </w:tc>
        <w:tc>
          <w:tcPr>
            <w:tcW w:w="720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7C9624F2" w14:textId="77777777" w:rsidR="00FF0C10" w:rsidRDefault="00437F02">
            <w:pPr>
              <w:spacing w:line="216" w:lineRule="auto"/>
            </w:pPr>
            <w:proofErr w:type="spellStart"/>
            <w:r>
              <w:rPr>
                <w:rFonts w:ascii="Calibri" w:eastAsia="Calibri" w:hAnsi="Calibri" w:cs="Calibri"/>
                <w:color w:val="000000"/>
                <w:sz w:val="17"/>
                <w:szCs w:val="17"/>
              </w:rPr>
              <w:t>Limeylands</w:t>
            </w:r>
            <w:proofErr w:type="spellEnd"/>
            <w:r>
              <w:rPr>
                <w:rFonts w:ascii="Calibri" w:eastAsia="Calibri" w:hAnsi="Calibri" w:cs="Calibri"/>
                <w:color w:val="000000"/>
                <w:sz w:val="17"/>
                <w:szCs w:val="17"/>
              </w:rPr>
              <w:t xml:space="preserve"> Court, Ormiston (26 homes) — new windows and doors, loft insulation and ventilation, funded by a £131,826 Scottish Government grant.  </w:t>
            </w:r>
            <w:proofErr w:type="spellStart"/>
            <w:r>
              <w:rPr>
                <w:rFonts w:ascii="Calibri" w:eastAsia="Calibri" w:hAnsi="Calibri" w:cs="Calibri"/>
                <w:color w:val="000000"/>
                <w:sz w:val="17"/>
                <w:szCs w:val="17"/>
              </w:rPr>
              <w:t>Goldenstones</w:t>
            </w:r>
            <w:proofErr w:type="spellEnd"/>
            <w:r>
              <w:rPr>
                <w:rFonts w:ascii="Calibri" w:eastAsia="Calibri" w:hAnsi="Calibri" w:cs="Calibri"/>
                <w:color w:val="000000"/>
                <w:sz w:val="17"/>
                <w:szCs w:val="17"/>
              </w:rPr>
              <w:t xml:space="preserve"> Avenue, Dunbar (9 homes) — new bathrooms.</w:t>
            </w:r>
          </w:p>
        </w:tc>
      </w:tr>
      <w:tr w:rsidR="00FF0C10" w14:paraId="5286D6B5"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5274096C" w14:textId="77777777" w:rsidR="00FF0C10" w:rsidRDefault="00437F02">
            <w:pPr>
              <w:spacing w:line="228" w:lineRule="auto"/>
            </w:pPr>
            <w:r>
              <w:rPr>
                <w:rFonts w:ascii="Calibri" w:eastAsia="Calibri" w:hAnsi="Calibri" w:cs="Calibri"/>
                <w:b/>
                <w:bCs/>
                <w:color w:val="2E5C8A"/>
                <w:sz w:val="18"/>
                <w:szCs w:val="18"/>
              </w:rPr>
              <w:t>2</w:t>
            </w:r>
          </w:p>
        </w:tc>
        <w:tc>
          <w:tcPr>
            <w:tcW w:w="10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489A46F4" w14:textId="77777777" w:rsidR="00FF0C10" w:rsidRDefault="00437F02">
            <w:pPr>
              <w:spacing w:line="228" w:lineRule="auto"/>
            </w:pPr>
            <w:r>
              <w:rPr>
                <w:rFonts w:ascii="Calibri" w:eastAsia="Calibri" w:hAnsi="Calibri" w:cs="Calibri"/>
                <w:b/>
                <w:bCs/>
                <w:color w:val="000000"/>
                <w:sz w:val="17"/>
                <w:szCs w:val="17"/>
              </w:rPr>
              <w:t>2027/28</w:t>
            </w:r>
          </w:p>
        </w:tc>
        <w:tc>
          <w:tcPr>
            <w:tcW w:w="11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61A0ECDC" w14:textId="77777777" w:rsidR="00FF0C10" w:rsidRDefault="00437F02">
            <w:pPr>
              <w:spacing w:line="228" w:lineRule="auto"/>
            </w:pPr>
            <w:r>
              <w:rPr>
                <w:rFonts w:ascii="Calibri" w:eastAsia="Calibri" w:hAnsi="Calibri" w:cs="Calibri"/>
                <w:b/>
                <w:bCs/>
                <w:color w:val="1F3864"/>
                <w:sz w:val="17"/>
                <w:szCs w:val="17"/>
              </w:rPr>
              <w:t>£609,000</w:t>
            </w:r>
          </w:p>
        </w:tc>
        <w:tc>
          <w:tcPr>
            <w:tcW w:w="720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75AB952D" w14:textId="77777777" w:rsidR="00FF0C10" w:rsidRDefault="00437F02">
            <w:pPr>
              <w:spacing w:line="216" w:lineRule="auto"/>
            </w:pPr>
            <w:r>
              <w:rPr>
                <w:rFonts w:ascii="Calibri" w:eastAsia="Calibri" w:hAnsi="Calibri" w:cs="Calibri"/>
                <w:color w:val="000000"/>
                <w:sz w:val="17"/>
                <w:szCs w:val="17"/>
              </w:rPr>
              <w:t>Macfarlane Court, Elphinstone (30 homes) — new windows and external doors.</w:t>
            </w:r>
          </w:p>
        </w:tc>
      </w:tr>
      <w:tr w:rsidR="00FF0C10" w14:paraId="36BB56D2"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19E7C53C" w14:textId="77777777" w:rsidR="00FF0C10" w:rsidRDefault="00437F02">
            <w:pPr>
              <w:spacing w:line="228" w:lineRule="auto"/>
            </w:pPr>
            <w:r>
              <w:rPr>
                <w:rFonts w:ascii="Calibri" w:eastAsia="Calibri" w:hAnsi="Calibri" w:cs="Calibri"/>
                <w:b/>
                <w:bCs/>
                <w:color w:val="2E5C8A"/>
                <w:sz w:val="18"/>
                <w:szCs w:val="18"/>
              </w:rPr>
              <w:t>3</w:t>
            </w:r>
          </w:p>
        </w:tc>
        <w:tc>
          <w:tcPr>
            <w:tcW w:w="10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6B863C5A" w14:textId="77777777" w:rsidR="00FF0C10" w:rsidRDefault="00437F02">
            <w:pPr>
              <w:spacing w:line="228" w:lineRule="auto"/>
            </w:pPr>
            <w:r>
              <w:rPr>
                <w:rFonts w:ascii="Calibri" w:eastAsia="Calibri" w:hAnsi="Calibri" w:cs="Calibri"/>
                <w:b/>
                <w:bCs/>
                <w:color w:val="000000"/>
                <w:sz w:val="17"/>
                <w:szCs w:val="17"/>
              </w:rPr>
              <w:t>2028/29</w:t>
            </w:r>
          </w:p>
        </w:tc>
        <w:tc>
          <w:tcPr>
            <w:tcW w:w="11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17C63352" w14:textId="77777777" w:rsidR="00FF0C10" w:rsidRDefault="00437F02">
            <w:pPr>
              <w:spacing w:line="228" w:lineRule="auto"/>
            </w:pPr>
            <w:r>
              <w:rPr>
                <w:rFonts w:ascii="Calibri" w:eastAsia="Calibri" w:hAnsi="Calibri" w:cs="Calibri"/>
                <w:b/>
                <w:bCs/>
                <w:color w:val="1F3864"/>
                <w:sz w:val="17"/>
                <w:szCs w:val="17"/>
              </w:rPr>
              <w:t>£1,759,000</w:t>
            </w:r>
          </w:p>
        </w:tc>
        <w:tc>
          <w:tcPr>
            <w:tcW w:w="720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29AB968D" w14:textId="77777777" w:rsidR="00FF0C10" w:rsidRDefault="00437F02">
            <w:pPr>
              <w:spacing w:line="216" w:lineRule="auto"/>
            </w:pPr>
            <w:r>
              <w:rPr>
                <w:rFonts w:ascii="Calibri" w:eastAsia="Calibri" w:hAnsi="Calibri" w:cs="Calibri"/>
                <w:color w:val="000000"/>
                <w:sz w:val="17"/>
                <w:szCs w:val="17"/>
              </w:rPr>
              <w:t>Muirfield Gardens and Muirfield Drive, Gullane (47 homes) — the largest single scheme in the plan. Insulation, solar and batteries, heat pumps, windows, doors, rewiring, heating and alarms, all in one visit.</w:t>
            </w:r>
          </w:p>
        </w:tc>
      </w:tr>
      <w:tr w:rsidR="00FF0C10" w14:paraId="50283872"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4BFE8796" w14:textId="77777777" w:rsidR="00FF0C10" w:rsidRDefault="00437F02">
            <w:pPr>
              <w:spacing w:line="228" w:lineRule="auto"/>
            </w:pPr>
            <w:r>
              <w:rPr>
                <w:rFonts w:ascii="Calibri" w:eastAsia="Calibri" w:hAnsi="Calibri" w:cs="Calibri"/>
                <w:b/>
                <w:bCs/>
                <w:color w:val="2E5C8A"/>
                <w:sz w:val="18"/>
                <w:szCs w:val="18"/>
              </w:rPr>
              <w:t>4</w:t>
            </w:r>
          </w:p>
        </w:tc>
        <w:tc>
          <w:tcPr>
            <w:tcW w:w="10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7EA46266" w14:textId="77777777" w:rsidR="00FF0C10" w:rsidRDefault="00437F02">
            <w:pPr>
              <w:spacing w:line="228" w:lineRule="auto"/>
            </w:pPr>
            <w:r>
              <w:rPr>
                <w:rFonts w:ascii="Calibri" w:eastAsia="Calibri" w:hAnsi="Calibri" w:cs="Calibri"/>
                <w:b/>
                <w:bCs/>
                <w:color w:val="000000"/>
                <w:sz w:val="17"/>
                <w:szCs w:val="17"/>
              </w:rPr>
              <w:t>2029/30</w:t>
            </w:r>
          </w:p>
        </w:tc>
        <w:tc>
          <w:tcPr>
            <w:tcW w:w="11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035FEC41" w14:textId="77777777" w:rsidR="00FF0C10" w:rsidRDefault="00437F02">
            <w:pPr>
              <w:spacing w:line="228" w:lineRule="auto"/>
            </w:pPr>
            <w:r>
              <w:rPr>
                <w:rFonts w:ascii="Calibri" w:eastAsia="Calibri" w:hAnsi="Calibri" w:cs="Calibri"/>
                <w:b/>
                <w:bCs/>
                <w:color w:val="1F3864"/>
                <w:sz w:val="17"/>
                <w:szCs w:val="17"/>
              </w:rPr>
              <w:t>£686,000</w:t>
            </w:r>
          </w:p>
        </w:tc>
        <w:tc>
          <w:tcPr>
            <w:tcW w:w="720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1F71D35" w14:textId="77777777" w:rsidR="00FF0C10" w:rsidRDefault="00437F02">
            <w:pPr>
              <w:spacing w:line="216" w:lineRule="auto"/>
            </w:pPr>
            <w:r>
              <w:rPr>
                <w:rFonts w:ascii="Calibri" w:eastAsia="Calibri" w:hAnsi="Calibri" w:cs="Calibri"/>
                <w:color w:val="000000"/>
                <w:sz w:val="17"/>
                <w:szCs w:val="17"/>
              </w:rPr>
              <w:t>Macfarlane Court, Elphinstone (30 homes) — insulation, solar, batteries and new boilers.  Longstone Avenue — windows and doors.  New kitchens in North Berwick.</w:t>
            </w:r>
          </w:p>
        </w:tc>
      </w:tr>
      <w:tr w:rsidR="00FF0C10" w14:paraId="155CFEC0"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320A3E1D" w14:textId="77777777" w:rsidR="00FF0C10" w:rsidRDefault="00437F02">
            <w:pPr>
              <w:spacing w:line="228" w:lineRule="auto"/>
            </w:pPr>
            <w:r>
              <w:rPr>
                <w:rFonts w:ascii="Calibri" w:eastAsia="Calibri" w:hAnsi="Calibri" w:cs="Calibri"/>
                <w:b/>
                <w:bCs/>
                <w:color w:val="2E5C8A"/>
                <w:sz w:val="18"/>
                <w:szCs w:val="18"/>
              </w:rPr>
              <w:t>5</w:t>
            </w:r>
          </w:p>
        </w:tc>
        <w:tc>
          <w:tcPr>
            <w:tcW w:w="10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4DFDAA10" w14:textId="77777777" w:rsidR="00FF0C10" w:rsidRDefault="00437F02">
            <w:pPr>
              <w:spacing w:line="228" w:lineRule="auto"/>
            </w:pPr>
            <w:r>
              <w:rPr>
                <w:rFonts w:ascii="Calibri" w:eastAsia="Calibri" w:hAnsi="Calibri" w:cs="Calibri"/>
                <w:b/>
                <w:bCs/>
                <w:color w:val="000000"/>
                <w:sz w:val="17"/>
                <w:szCs w:val="17"/>
              </w:rPr>
              <w:t>2030/31</w:t>
            </w:r>
          </w:p>
        </w:tc>
        <w:tc>
          <w:tcPr>
            <w:tcW w:w="11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17720540" w14:textId="77777777" w:rsidR="00FF0C10" w:rsidRDefault="00437F02">
            <w:pPr>
              <w:spacing w:line="228" w:lineRule="auto"/>
            </w:pPr>
            <w:r>
              <w:rPr>
                <w:rFonts w:ascii="Calibri" w:eastAsia="Calibri" w:hAnsi="Calibri" w:cs="Calibri"/>
                <w:b/>
                <w:bCs/>
                <w:color w:val="1F3864"/>
                <w:sz w:val="17"/>
                <w:szCs w:val="17"/>
              </w:rPr>
              <w:t>£758,000</w:t>
            </w:r>
          </w:p>
        </w:tc>
        <w:tc>
          <w:tcPr>
            <w:tcW w:w="720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0C402F23" w14:textId="77777777" w:rsidR="00FF0C10" w:rsidRDefault="00437F02">
            <w:pPr>
              <w:spacing w:line="216" w:lineRule="auto"/>
            </w:pPr>
            <w:r>
              <w:rPr>
                <w:rFonts w:ascii="Calibri" w:eastAsia="Calibri" w:hAnsi="Calibri" w:cs="Calibri"/>
                <w:color w:val="000000"/>
                <w:sz w:val="17"/>
                <w:szCs w:val="17"/>
              </w:rPr>
              <w:t xml:space="preserve">Eight smaller courts and rural homes — Hares Close, Duries Park, </w:t>
            </w:r>
            <w:proofErr w:type="spellStart"/>
            <w:r>
              <w:rPr>
                <w:rFonts w:ascii="Calibri" w:eastAsia="Calibri" w:hAnsi="Calibri" w:cs="Calibri"/>
                <w:color w:val="000000"/>
                <w:sz w:val="17"/>
                <w:szCs w:val="17"/>
              </w:rPr>
              <w:t>Tynemount</w:t>
            </w:r>
            <w:proofErr w:type="spellEnd"/>
            <w:r>
              <w:rPr>
                <w:rFonts w:ascii="Calibri" w:eastAsia="Calibri" w:hAnsi="Calibri" w:cs="Calibri"/>
                <w:color w:val="000000"/>
                <w:sz w:val="17"/>
                <w:szCs w:val="17"/>
              </w:rPr>
              <w:t xml:space="preserve"> Road, </w:t>
            </w:r>
            <w:proofErr w:type="spellStart"/>
            <w:r>
              <w:rPr>
                <w:rFonts w:ascii="Calibri" w:eastAsia="Calibri" w:hAnsi="Calibri" w:cs="Calibri"/>
                <w:color w:val="000000"/>
                <w:sz w:val="17"/>
                <w:szCs w:val="17"/>
              </w:rPr>
              <w:t>Whittingehame</w:t>
            </w:r>
            <w:proofErr w:type="spellEnd"/>
            <w:r>
              <w:rPr>
                <w:rFonts w:ascii="Calibri" w:eastAsia="Calibri" w:hAnsi="Calibri" w:cs="Calibri"/>
                <w:color w:val="000000"/>
                <w:sz w:val="17"/>
                <w:szCs w:val="17"/>
              </w:rPr>
              <w:t xml:space="preserve">, </w:t>
            </w:r>
            <w:proofErr w:type="spellStart"/>
            <w:r>
              <w:rPr>
                <w:rFonts w:ascii="Calibri" w:eastAsia="Calibri" w:hAnsi="Calibri" w:cs="Calibri"/>
                <w:color w:val="000000"/>
                <w:sz w:val="17"/>
                <w:szCs w:val="17"/>
              </w:rPr>
              <w:t>Forthview</w:t>
            </w:r>
            <w:proofErr w:type="spellEnd"/>
            <w:r>
              <w:rPr>
                <w:rFonts w:ascii="Calibri" w:eastAsia="Calibri" w:hAnsi="Calibri" w:cs="Calibri"/>
                <w:color w:val="000000"/>
                <w:sz w:val="17"/>
                <w:szCs w:val="17"/>
              </w:rPr>
              <w:t xml:space="preserve"> Road, </w:t>
            </w:r>
            <w:proofErr w:type="spellStart"/>
            <w:r>
              <w:rPr>
                <w:rFonts w:ascii="Calibri" w:eastAsia="Calibri" w:hAnsi="Calibri" w:cs="Calibri"/>
                <w:color w:val="000000"/>
                <w:sz w:val="17"/>
                <w:szCs w:val="17"/>
              </w:rPr>
              <w:t>Luffness</w:t>
            </w:r>
            <w:proofErr w:type="spellEnd"/>
            <w:r>
              <w:rPr>
                <w:rFonts w:ascii="Calibri" w:eastAsia="Calibri" w:hAnsi="Calibri" w:cs="Calibri"/>
                <w:color w:val="000000"/>
                <w:sz w:val="17"/>
                <w:szCs w:val="17"/>
              </w:rPr>
              <w:t xml:space="preserve"> Court, School Road and </w:t>
            </w:r>
            <w:proofErr w:type="spellStart"/>
            <w:r>
              <w:rPr>
                <w:rFonts w:ascii="Calibri" w:eastAsia="Calibri" w:hAnsi="Calibri" w:cs="Calibri"/>
                <w:color w:val="000000"/>
                <w:sz w:val="17"/>
                <w:szCs w:val="17"/>
              </w:rPr>
              <w:t>Amisfield</w:t>
            </w:r>
            <w:proofErr w:type="spellEnd"/>
            <w:r>
              <w:rPr>
                <w:rFonts w:ascii="Calibri" w:eastAsia="Calibri" w:hAnsi="Calibri" w:cs="Calibri"/>
                <w:color w:val="000000"/>
                <w:sz w:val="17"/>
                <w:szCs w:val="17"/>
              </w:rPr>
              <w:t xml:space="preserve"> Place.  Hares Close (14 homes) also receives windows, doors and boilers.</w:t>
            </w:r>
          </w:p>
        </w:tc>
      </w:tr>
      <w:tr w:rsidR="00FF0C10" w14:paraId="1A3D456B"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2BA5C599" w14:textId="77777777" w:rsidR="00FF0C10" w:rsidRDefault="00437F02">
            <w:pPr>
              <w:spacing w:line="228" w:lineRule="auto"/>
            </w:pPr>
            <w:r>
              <w:rPr>
                <w:rFonts w:ascii="Calibri" w:eastAsia="Calibri" w:hAnsi="Calibri" w:cs="Calibri"/>
                <w:b/>
                <w:bCs/>
                <w:color w:val="2E5C8A"/>
                <w:sz w:val="18"/>
                <w:szCs w:val="18"/>
              </w:rPr>
              <w:t>6</w:t>
            </w:r>
          </w:p>
        </w:tc>
        <w:tc>
          <w:tcPr>
            <w:tcW w:w="10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19A3AC1" w14:textId="77777777" w:rsidR="00FF0C10" w:rsidRDefault="00437F02">
            <w:pPr>
              <w:spacing w:line="228" w:lineRule="auto"/>
            </w:pPr>
            <w:r>
              <w:rPr>
                <w:rFonts w:ascii="Calibri" w:eastAsia="Calibri" w:hAnsi="Calibri" w:cs="Calibri"/>
                <w:b/>
                <w:bCs/>
                <w:color w:val="000000"/>
                <w:sz w:val="17"/>
                <w:szCs w:val="17"/>
              </w:rPr>
              <w:t>2031/32</w:t>
            </w:r>
          </w:p>
        </w:tc>
        <w:tc>
          <w:tcPr>
            <w:tcW w:w="11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64CCAC1E" w14:textId="77777777" w:rsidR="00FF0C10" w:rsidRDefault="00437F02">
            <w:pPr>
              <w:spacing w:line="228" w:lineRule="auto"/>
            </w:pPr>
            <w:r>
              <w:rPr>
                <w:rFonts w:ascii="Calibri" w:eastAsia="Calibri" w:hAnsi="Calibri" w:cs="Calibri"/>
                <w:b/>
                <w:bCs/>
                <w:color w:val="1F3864"/>
                <w:sz w:val="17"/>
                <w:szCs w:val="17"/>
              </w:rPr>
              <w:t>£1,324,000</w:t>
            </w:r>
          </w:p>
        </w:tc>
        <w:tc>
          <w:tcPr>
            <w:tcW w:w="720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AF3E8F8" w14:textId="77777777" w:rsidR="00FF0C10" w:rsidRDefault="00437F02">
            <w:pPr>
              <w:spacing w:line="216" w:lineRule="auto"/>
            </w:pPr>
            <w:r>
              <w:rPr>
                <w:rFonts w:ascii="Calibri" w:eastAsia="Calibri" w:hAnsi="Calibri" w:cs="Calibri"/>
                <w:color w:val="000000"/>
                <w:sz w:val="17"/>
                <w:szCs w:val="17"/>
              </w:rPr>
              <w:t>Walden Terrace and Walden Place, Gifford (35 homes) — full energy package with windows and doors.  New kitchens at Barga Court (22 homes).  Smoke and heat alarms renewed in 257 homes.</w:t>
            </w:r>
          </w:p>
        </w:tc>
      </w:tr>
      <w:tr w:rsidR="00FF0C10" w14:paraId="5C900868"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3B9CCCBF" w14:textId="77777777" w:rsidR="00FF0C10" w:rsidRDefault="00437F02">
            <w:pPr>
              <w:spacing w:line="228" w:lineRule="auto"/>
            </w:pPr>
            <w:r>
              <w:rPr>
                <w:rFonts w:ascii="Calibri" w:eastAsia="Calibri" w:hAnsi="Calibri" w:cs="Calibri"/>
                <w:b/>
                <w:bCs/>
                <w:color w:val="2E5C8A"/>
                <w:sz w:val="18"/>
                <w:szCs w:val="18"/>
              </w:rPr>
              <w:t>7</w:t>
            </w:r>
          </w:p>
        </w:tc>
        <w:tc>
          <w:tcPr>
            <w:tcW w:w="10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0967A20B" w14:textId="77777777" w:rsidR="00FF0C10" w:rsidRDefault="00437F02">
            <w:pPr>
              <w:spacing w:line="228" w:lineRule="auto"/>
            </w:pPr>
            <w:r>
              <w:rPr>
                <w:rFonts w:ascii="Calibri" w:eastAsia="Calibri" w:hAnsi="Calibri" w:cs="Calibri"/>
                <w:b/>
                <w:bCs/>
                <w:color w:val="000000"/>
                <w:sz w:val="17"/>
                <w:szCs w:val="17"/>
              </w:rPr>
              <w:t>2032/33</w:t>
            </w:r>
          </w:p>
        </w:tc>
        <w:tc>
          <w:tcPr>
            <w:tcW w:w="11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67C02DA0" w14:textId="77777777" w:rsidR="00FF0C10" w:rsidRDefault="00437F02">
            <w:pPr>
              <w:spacing w:line="228" w:lineRule="auto"/>
            </w:pPr>
            <w:r>
              <w:rPr>
                <w:rFonts w:ascii="Calibri" w:eastAsia="Calibri" w:hAnsi="Calibri" w:cs="Calibri"/>
                <w:b/>
                <w:bCs/>
                <w:color w:val="1F3864"/>
                <w:sz w:val="17"/>
                <w:szCs w:val="17"/>
              </w:rPr>
              <w:t>£975,000</w:t>
            </w:r>
          </w:p>
        </w:tc>
        <w:tc>
          <w:tcPr>
            <w:tcW w:w="720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52A344B7" w14:textId="77777777" w:rsidR="00FF0C10" w:rsidRDefault="00437F02">
            <w:pPr>
              <w:spacing w:line="216" w:lineRule="auto"/>
            </w:pPr>
            <w:r>
              <w:rPr>
                <w:rFonts w:ascii="Calibri" w:eastAsia="Calibri" w:hAnsi="Calibri" w:cs="Calibri"/>
                <w:color w:val="000000"/>
                <w:sz w:val="17"/>
                <w:szCs w:val="17"/>
              </w:rPr>
              <w:t xml:space="preserve">North Berwick (13), Davidson Place and Terrace, Haddington (8) and </w:t>
            </w:r>
            <w:proofErr w:type="spellStart"/>
            <w:r>
              <w:rPr>
                <w:rFonts w:ascii="Calibri" w:eastAsia="Calibri" w:hAnsi="Calibri" w:cs="Calibri"/>
                <w:color w:val="000000"/>
                <w:sz w:val="17"/>
                <w:szCs w:val="17"/>
              </w:rPr>
              <w:t>Prestonkirk</w:t>
            </w:r>
            <w:proofErr w:type="spellEnd"/>
            <w:r>
              <w:rPr>
                <w:rFonts w:ascii="Calibri" w:eastAsia="Calibri" w:hAnsi="Calibri" w:cs="Calibri"/>
                <w:color w:val="000000"/>
                <w:sz w:val="17"/>
                <w:szCs w:val="17"/>
              </w:rPr>
              <w:t xml:space="preserve"> House and Smiddy Wynd, East Linton (16) — energy packages with windows and doors.  New boilers at </w:t>
            </w:r>
            <w:proofErr w:type="spellStart"/>
            <w:r>
              <w:rPr>
                <w:rFonts w:ascii="Calibri" w:eastAsia="Calibri" w:hAnsi="Calibri" w:cs="Calibri"/>
                <w:color w:val="000000"/>
                <w:sz w:val="17"/>
                <w:szCs w:val="17"/>
              </w:rPr>
              <w:t>Limeylands</w:t>
            </w:r>
            <w:proofErr w:type="spellEnd"/>
            <w:r>
              <w:rPr>
                <w:rFonts w:ascii="Calibri" w:eastAsia="Calibri" w:hAnsi="Calibri" w:cs="Calibri"/>
                <w:color w:val="000000"/>
                <w:sz w:val="17"/>
                <w:szCs w:val="17"/>
              </w:rPr>
              <w:t xml:space="preserve"> Court.</w:t>
            </w:r>
          </w:p>
        </w:tc>
      </w:tr>
      <w:tr w:rsidR="00FF0C10" w14:paraId="6B500D54"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C9F5526" w14:textId="77777777" w:rsidR="00FF0C10" w:rsidRDefault="00437F02">
            <w:pPr>
              <w:spacing w:line="228" w:lineRule="auto"/>
            </w:pPr>
            <w:r>
              <w:rPr>
                <w:rFonts w:ascii="Calibri" w:eastAsia="Calibri" w:hAnsi="Calibri" w:cs="Calibri"/>
                <w:b/>
                <w:bCs/>
                <w:color w:val="2E5C8A"/>
                <w:sz w:val="18"/>
                <w:szCs w:val="18"/>
              </w:rPr>
              <w:t>8</w:t>
            </w:r>
          </w:p>
        </w:tc>
        <w:tc>
          <w:tcPr>
            <w:tcW w:w="10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279264B4" w14:textId="77777777" w:rsidR="00FF0C10" w:rsidRDefault="00437F02">
            <w:pPr>
              <w:spacing w:line="228" w:lineRule="auto"/>
            </w:pPr>
            <w:r>
              <w:rPr>
                <w:rFonts w:ascii="Calibri" w:eastAsia="Calibri" w:hAnsi="Calibri" w:cs="Calibri"/>
                <w:b/>
                <w:bCs/>
                <w:color w:val="000000"/>
                <w:sz w:val="17"/>
                <w:szCs w:val="17"/>
              </w:rPr>
              <w:t>2033/34</w:t>
            </w:r>
          </w:p>
        </w:tc>
        <w:tc>
          <w:tcPr>
            <w:tcW w:w="11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362E1553" w14:textId="77777777" w:rsidR="00FF0C10" w:rsidRDefault="00437F02">
            <w:pPr>
              <w:spacing w:line="228" w:lineRule="auto"/>
            </w:pPr>
            <w:r>
              <w:rPr>
                <w:rFonts w:ascii="Calibri" w:eastAsia="Calibri" w:hAnsi="Calibri" w:cs="Calibri"/>
                <w:b/>
                <w:bCs/>
                <w:color w:val="1F3864"/>
                <w:sz w:val="17"/>
                <w:szCs w:val="17"/>
              </w:rPr>
              <w:t>£745,000</w:t>
            </w:r>
          </w:p>
        </w:tc>
        <w:tc>
          <w:tcPr>
            <w:tcW w:w="720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20F4D304" w14:textId="77777777" w:rsidR="00FF0C10" w:rsidRDefault="00437F02">
            <w:pPr>
              <w:spacing w:line="216" w:lineRule="auto"/>
            </w:pPr>
            <w:proofErr w:type="spellStart"/>
            <w:r>
              <w:rPr>
                <w:rFonts w:ascii="Calibri" w:eastAsia="Calibri" w:hAnsi="Calibri" w:cs="Calibri"/>
                <w:color w:val="000000"/>
                <w:sz w:val="17"/>
                <w:szCs w:val="17"/>
              </w:rPr>
              <w:t>Limeylands</w:t>
            </w:r>
            <w:proofErr w:type="spellEnd"/>
            <w:r>
              <w:rPr>
                <w:rFonts w:ascii="Calibri" w:eastAsia="Calibri" w:hAnsi="Calibri" w:cs="Calibri"/>
                <w:color w:val="000000"/>
                <w:sz w:val="17"/>
                <w:szCs w:val="17"/>
              </w:rPr>
              <w:t xml:space="preserve"> Court, Ormiston (26 homes) returns for solar, batteries and heat pumps, with new bathrooms.  </w:t>
            </w:r>
            <w:proofErr w:type="spellStart"/>
            <w:r>
              <w:rPr>
                <w:rFonts w:ascii="Calibri" w:eastAsia="Calibri" w:hAnsi="Calibri" w:cs="Calibri"/>
                <w:color w:val="000000"/>
                <w:sz w:val="17"/>
                <w:szCs w:val="17"/>
              </w:rPr>
              <w:t>Roodlands</w:t>
            </w:r>
            <w:proofErr w:type="spellEnd"/>
            <w:r>
              <w:rPr>
                <w:rFonts w:ascii="Calibri" w:eastAsia="Calibri" w:hAnsi="Calibri" w:cs="Calibri"/>
                <w:color w:val="000000"/>
                <w:sz w:val="17"/>
                <w:szCs w:val="17"/>
              </w:rPr>
              <w:t xml:space="preserve"> Court — windows, doors and boilers.  Rewiring across rural homes.</w:t>
            </w:r>
          </w:p>
        </w:tc>
      </w:tr>
      <w:tr w:rsidR="00FF0C10" w14:paraId="7844E3B7"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791C374A" w14:textId="77777777" w:rsidR="00FF0C10" w:rsidRDefault="00437F02">
            <w:pPr>
              <w:spacing w:line="228" w:lineRule="auto"/>
            </w:pPr>
            <w:r>
              <w:rPr>
                <w:rFonts w:ascii="Calibri" w:eastAsia="Calibri" w:hAnsi="Calibri" w:cs="Calibri"/>
                <w:b/>
                <w:bCs/>
                <w:color w:val="2E5C8A"/>
                <w:sz w:val="18"/>
                <w:szCs w:val="18"/>
              </w:rPr>
              <w:t>9</w:t>
            </w:r>
          </w:p>
        </w:tc>
        <w:tc>
          <w:tcPr>
            <w:tcW w:w="10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4A8201C0" w14:textId="77777777" w:rsidR="00FF0C10" w:rsidRDefault="00437F02">
            <w:pPr>
              <w:spacing w:line="228" w:lineRule="auto"/>
            </w:pPr>
            <w:r>
              <w:rPr>
                <w:rFonts w:ascii="Calibri" w:eastAsia="Calibri" w:hAnsi="Calibri" w:cs="Calibri"/>
                <w:b/>
                <w:bCs/>
                <w:color w:val="000000"/>
                <w:sz w:val="17"/>
                <w:szCs w:val="17"/>
              </w:rPr>
              <w:t>2034/35</w:t>
            </w:r>
          </w:p>
        </w:tc>
        <w:tc>
          <w:tcPr>
            <w:tcW w:w="118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788A03EE" w14:textId="77777777" w:rsidR="00FF0C10" w:rsidRDefault="00437F02">
            <w:pPr>
              <w:spacing w:line="228" w:lineRule="auto"/>
            </w:pPr>
            <w:r>
              <w:rPr>
                <w:rFonts w:ascii="Calibri" w:eastAsia="Calibri" w:hAnsi="Calibri" w:cs="Calibri"/>
                <w:b/>
                <w:bCs/>
                <w:color w:val="1F3864"/>
                <w:sz w:val="17"/>
                <w:szCs w:val="17"/>
              </w:rPr>
              <w:t>£992,000</w:t>
            </w:r>
          </w:p>
        </w:tc>
        <w:tc>
          <w:tcPr>
            <w:tcW w:w="7200" w:type="dxa"/>
            <w:tcBorders>
              <w:top w:val="none" w:sz="0" w:space="0" w:color="FFFFFF"/>
              <w:left w:val="none" w:sz="0" w:space="0" w:color="FFFFFF"/>
              <w:bottom w:val="single" w:sz="4" w:space="0" w:color="FFFFFF"/>
              <w:right w:val="none" w:sz="0" w:space="0" w:color="FFFFFF"/>
            </w:tcBorders>
            <w:shd w:val="clear" w:color="auto" w:fill="F2F5F9"/>
            <w:tcMar>
              <w:top w:w="60" w:type="dxa"/>
              <w:left w:w="90" w:type="dxa"/>
              <w:bottom w:w="60" w:type="dxa"/>
              <w:right w:w="90" w:type="dxa"/>
            </w:tcMar>
          </w:tcPr>
          <w:p w14:paraId="61C5B1DA" w14:textId="77777777" w:rsidR="00FF0C10" w:rsidRDefault="00437F02">
            <w:pPr>
              <w:spacing w:line="216" w:lineRule="auto"/>
            </w:pPr>
            <w:r>
              <w:rPr>
                <w:rFonts w:ascii="Calibri" w:eastAsia="Calibri" w:hAnsi="Calibri" w:cs="Calibri"/>
                <w:color w:val="000000"/>
                <w:sz w:val="17"/>
                <w:szCs w:val="17"/>
              </w:rPr>
              <w:t>Twelve courts and rural homes, including Kennedy Court (14) and Market Street, Haddington (8).  Old Course Gate, Musselburgh (16) and Kennedy Court receive windows and doors.  New bathrooms in 22 homes.</w:t>
            </w:r>
          </w:p>
        </w:tc>
      </w:tr>
      <w:tr w:rsidR="00FF0C10" w14:paraId="0F4D51AA" w14:textId="77777777">
        <w:tblPrEx>
          <w:tblCellMar>
            <w:top w:w="0" w:type="dxa"/>
            <w:bottom w:w="0" w:type="dxa"/>
          </w:tblCellMar>
        </w:tblPrEx>
        <w:tc>
          <w:tcPr>
            <w:tcW w:w="62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05E0D66D" w14:textId="77777777" w:rsidR="00FF0C10" w:rsidRDefault="00437F02">
            <w:pPr>
              <w:spacing w:line="228" w:lineRule="auto"/>
            </w:pPr>
            <w:r>
              <w:rPr>
                <w:rFonts w:ascii="Calibri" w:eastAsia="Calibri" w:hAnsi="Calibri" w:cs="Calibri"/>
                <w:b/>
                <w:bCs/>
                <w:color w:val="2E5C8A"/>
                <w:sz w:val="18"/>
                <w:szCs w:val="18"/>
              </w:rPr>
              <w:t>10</w:t>
            </w:r>
          </w:p>
        </w:tc>
        <w:tc>
          <w:tcPr>
            <w:tcW w:w="10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D8EB94A" w14:textId="77777777" w:rsidR="00FF0C10" w:rsidRDefault="00437F02">
            <w:pPr>
              <w:spacing w:line="228" w:lineRule="auto"/>
            </w:pPr>
            <w:r>
              <w:rPr>
                <w:rFonts w:ascii="Calibri" w:eastAsia="Calibri" w:hAnsi="Calibri" w:cs="Calibri"/>
                <w:b/>
                <w:bCs/>
                <w:color w:val="000000"/>
                <w:sz w:val="17"/>
                <w:szCs w:val="17"/>
              </w:rPr>
              <w:t>2035/36</w:t>
            </w:r>
          </w:p>
        </w:tc>
        <w:tc>
          <w:tcPr>
            <w:tcW w:w="118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07670D60" w14:textId="77777777" w:rsidR="00FF0C10" w:rsidRDefault="00437F02">
            <w:pPr>
              <w:spacing w:line="228" w:lineRule="auto"/>
            </w:pPr>
            <w:r>
              <w:rPr>
                <w:rFonts w:ascii="Calibri" w:eastAsia="Calibri" w:hAnsi="Calibri" w:cs="Calibri"/>
                <w:b/>
                <w:bCs/>
                <w:color w:val="1F3864"/>
                <w:sz w:val="17"/>
                <w:szCs w:val="17"/>
              </w:rPr>
              <w:t>£906,000</w:t>
            </w:r>
          </w:p>
        </w:tc>
        <w:tc>
          <w:tcPr>
            <w:tcW w:w="7200" w:type="dxa"/>
            <w:tcBorders>
              <w:top w:val="none" w:sz="0" w:space="0" w:color="FFFFFF"/>
              <w:left w:val="none" w:sz="0" w:space="0" w:color="FFFFFF"/>
              <w:bottom w:val="single" w:sz="4" w:space="0" w:color="FFFFFF"/>
              <w:right w:val="none" w:sz="0" w:space="0" w:color="FFFFFF"/>
            </w:tcBorders>
            <w:shd w:val="clear" w:color="auto" w:fill="FFFFFF"/>
            <w:tcMar>
              <w:top w:w="60" w:type="dxa"/>
              <w:left w:w="90" w:type="dxa"/>
              <w:bottom w:w="60" w:type="dxa"/>
              <w:right w:w="90" w:type="dxa"/>
            </w:tcMar>
          </w:tcPr>
          <w:p w14:paraId="1778C5EA" w14:textId="77777777" w:rsidR="00FF0C10" w:rsidRDefault="00437F02">
            <w:pPr>
              <w:spacing w:line="216" w:lineRule="auto"/>
            </w:pPr>
            <w:r>
              <w:rPr>
                <w:rFonts w:ascii="Calibri" w:eastAsia="Calibri" w:hAnsi="Calibri" w:cs="Calibri"/>
                <w:color w:val="000000"/>
                <w:sz w:val="17"/>
                <w:szCs w:val="17"/>
              </w:rPr>
              <w:t xml:space="preserve">Barga Court, </w:t>
            </w:r>
            <w:proofErr w:type="spellStart"/>
            <w:r>
              <w:rPr>
                <w:rFonts w:ascii="Calibri" w:eastAsia="Calibri" w:hAnsi="Calibri" w:cs="Calibri"/>
                <w:color w:val="000000"/>
                <w:sz w:val="17"/>
                <w:szCs w:val="17"/>
              </w:rPr>
              <w:t>Cockenzie</w:t>
            </w:r>
            <w:proofErr w:type="spellEnd"/>
            <w:r>
              <w:rPr>
                <w:rFonts w:ascii="Calibri" w:eastAsia="Calibri" w:hAnsi="Calibri" w:cs="Calibri"/>
                <w:color w:val="000000"/>
                <w:sz w:val="17"/>
                <w:szCs w:val="17"/>
              </w:rPr>
              <w:t xml:space="preserve"> (22 homes) and </w:t>
            </w:r>
            <w:proofErr w:type="spellStart"/>
            <w:r>
              <w:rPr>
                <w:rFonts w:ascii="Calibri" w:eastAsia="Calibri" w:hAnsi="Calibri" w:cs="Calibri"/>
                <w:color w:val="000000"/>
                <w:sz w:val="17"/>
                <w:szCs w:val="17"/>
              </w:rPr>
              <w:t>Goldenstones</w:t>
            </w:r>
            <w:proofErr w:type="spellEnd"/>
            <w:r>
              <w:rPr>
                <w:rFonts w:ascii="Calibri" w:eastAsia="Calibri" w:hAnsi="Calibri" w:cs="Calibri"/>
                <w:color w:val="000000"/>
                <w:sz w:val="17"/>
                <w:szCs w:val="17"/>
              </w:rPr>
              <w:t xml:space="preserve"> Avenue, Dunbar (12 homes) — energy packages, with windows and doors at </w:t>
            </w:r>
            <w:proofErr w:type="spellStart"/>
            <w:r>
              <w:rPr>
                <w:rFonts w:ascii="Calibri" w:eastAsia="Calibri" w:hAnsi="Calibri" w:cs="Calibri"/>
                <w:color w:val="000000"/>
                <w:sz w:val="17"/>
                <w:szCs w:val="17"/>
              </w:rPr>
              <w:t>Goldenstones</w:t>
            </w:r>
            <w:proofErr w:type="spellEnd"/>
            <w:r>
              <w:rPr>
                <w:rFonts w:ascii="Calibri" w:eastAsia="Calibri" w:hAnsi="Calibri" w:cs="Calibri"/>
                <w:color w:val="000000"/>
                <w:sz w:val="17"/>
                <w:szCs w:val="17"/>
              </w:rPr>
              <w:t>.  New roofs on 27 rural homes.  Rewiring at Walden and Kennedy Court.</w:t>
            </w:r>
          </w:p>
        </w:tc>
      </w:tr>
      <w:tr w:rsidR="00FF0C10" w14:paraId="7751151C" w14:textId="77777777">
        <w:tblPrEx>
          <w:tblCellMar>
            <w:top w:w="0" w:type="dxa"/>
            <w:bottom w:w="0" w:type="dxa"/>
          </w:tblCellMar>
        </w:tblPrEx>
        <w:tc>
          <w:tcPr>
            <w:tcW w:w="1700" w:type="dxa"/>
            <w:gridSpan w:val="2"/>
            <w:tcBorders>
              <w:top w:val="none" w:sz="0" w:space="0" w:color="FFFFFF"/>
              <w:left w:val="none" w:sz="0" w:space="0" w:color="FFFFFF"/>
              <w:bottom w:val="none" w:sz="0" w:space="0" w:color="FFFFFF"/>
              <w:right w:val="none" w:sz="0" w:space="0" w:color="FFFFFF"/>
            </w:tcBorders>
            <w:shd w:val="clear" w:color="auto" w:fill="DCE6F1"/>
            <w:tcMar>
              <w:top w:w="60" w:type="dxa"/>
              <w:left w:w="90" w:type="dxa"/>
              <w:bottom w:w="60" w:type="dxa"/>
              <w:right w:w="90" w:type="dxa"/>
            </w:tcMar>
          </w:tcPr>
          <w:p w14:paraId="2442AE51" w14:textId="77777777" w:rsidR="00FF0C10" w:rsidRDefault="00437F02">
            <w:pPr>
              <w:spacing w:line="228" w:lineRule="auto"/>
            </w:pPr>
            <w:r>
              <w:rPr>
                <w:rFonts w:ascii="Calibri" w:eastAsia="Calibri" w:hAnsi="Calibri" w:cs="Calibri"/>
                <w:b/>
                <w:bCs/>
                <w:color w:val="1F3864"/>
                <w:sz w:val="17"/>
                <w:szCs w:val="17"/>
              </w:rPr>
              <w:t>Ten years</w:t>
            </w:r>
          </w:p>
        </w:tc>
        <w:tc>
          <w:tcPr>
            <w:tcW w:w="1180" w:type="dxa"/>
            <w:tcBorders>
              <w:top w:val="none" w:sz="0" w:space="0" w:color="FFFFFF"/>
              <w:left w:val="none" w:sz="0" w:space="0" w:color="FFFFFF"/>
              <w:bottom w:val="none" w:sz="0" w:space="0" w:color="FFFFFF"/>
              <w:right w:val="none" w:sz="0" w:space="0" w:color="FFFFFF"/>
            </w:tcBorders>
            <w:shd w:val="clear" w:color="auto" w:fill="DCE6F1"/>
            <w:tcMar>
              <w:top w:w="60" w:type="dxa"/>
              <w:left w:w="90" w:type="dxa"/>
              <w:bottom w:w="60" w:type="dxa"/>
              <w:right w:w="90" w:type="dxa"/>
            </w:tcMar>
          </w:tcPr>
          <w:p w14:paraId="2D261ED0" w14:textId="77777777" w:rsidR="00FF0C10" w:rsidRDefault="00437F02">
            <w:pPr>
              <w:spacing w:line="228" w:lineRule="auto"/>
            </w:pPr>
            <w:r>
              <w:rPr>
                <w:rFonts w:ascii="Calibri" w:eastAsia="Calibri" w:hAnsi="Calibri" w:cs="Calibri"/>
                <w:b/>
                <w:bCs/>
                <w:color w:val="1F3864"/>
                <w:sz w:val="17"/>
                <w:szCs w:val="17"/>
              </w:rPr>
              <w:t>£9,096,000</w:t>
            </w:r>
          </w:p>
        </w:tc>
        <w:tc>
          <w:tcPr>
            <w:tcW w:w="7200" w:type="dxa"/>
            <w:tcBorders>
              <w:top w:val="none" w:sz="0" w:space="0" w:color="FFFFFF"/>
              <w:left w:val="none" w:sz="0" w:space="0" w:color="FFFFFF"/>
              <w:bottom w:val="none" w:sz="0" w:space="0" w:color="FFFFFF"/>
              <w:right w:val="none" w:sz="0" w:space="0" w:color="FFFFFF"/>
            </w:tcBorders>
            <w:shd w:val="clear" w:color="auto" w:fill="DCE6F1"/>
            <w:tcMar>
              <w:top w:w="60" w:type="dxa"/>
              <w:left w:w="90" w:type="dxa"/>
              <w:bottom w:w="60" w:type="dxa"/>
              <w:right w:w="90" w:type="dxa"/>
            </w:tcMar>
          </w:tcPr>
          <w:p w14:paraId="2A78CCAF" w14:textId="77777777" w:rsidR="00FF0C10" w:rsidRDefault="00437F02">
            <w:pPr>
              <w:spacing w:line="228" w:lineRule="auto"/>
            </w:pPr>
            <w:r>
              <w:rPr>
                <w:rFonts w:ascii="Calibri" w:eastAsia="Calibri" w:hAnsi="Calibri" w:cs="Calibri"/>
                <w:color w:val="1F3864"/>
                <w:sz w:val="17"/>
                <w:szCs w:val="17"/>
              </w:rPr>
              <w:t>272 of our 304 homes receive their full energy package within the ten years. The remaining 32 follow by 2037/38.</w:t>
            </w:r>
          </w:p>
        </w:tc>
      </w:tr>
    </w:tbl>
    <w:p w14:paraId="7CA3D492" w14:textId="77777777" w:rsidR="00FF0C10" w:rsidRDefault="00437F02">
      <w:pPr>
        <w:pBdr>
          <w:top w:val="single" w:sz="4" w:space="6" w:color="DCE6F1"/>
        </w:pBdr>
        <w:spacing w:before="150" w:line="200" w:lineRule="auto"/>
      </w:pPr>
      <w:r>
        <w:rPr>
          <w:rFonts w:ascii="Calibri" w:eastAsia="Calibri" w:hAnsi="Calibri" w:cs="Calibri"/>
          <w:i/>
          <w:iCs/>
          <w:color w:val="595959"/>
          <w:sz w:val="15"/>
          <w:szCs w:val="15"/>
        </w:rPr>
        <w:t>Costs are at today's prices and exclude inflation. The plan is reviewed every year, and the stock condition survey now under way may change the order of works. Nothing here commits us to a date for an individual home — if you want to know about yours, please ask.</w:t>
      </w:r>
    </w:p>
    <w:sectPr w:rsidR="00FF0C10">
      <w:pgSz w:w="11906" w:h="16838"/>
      <w:pgMar w:top="720" w:right="900" w:bottom="64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664A1"/>
    <w:multiLevelType w:val="hybridMultilevel"/>
    <w:tmpl w:val="867E2048"/>
    <w:lvl w:ilvl="0" w:tplc="B980F5D2">
      <w:start w:val="1"/>
      <w:numFmt w:val="bullet"/>
      <w:lvlText w:val="●"/>
      <w:lvlJc w:val="left"/>
      <w:pPr>
        <w:ind w:left="720" w:hanging="360"/>
      </w:pPr>
    </w:lvl>
    <w:lvl w:ilvl="1" w:tplc="16C2812C">
      <w:start w:val="1"/>
      <w:numFmt w:val="bullet"/>
      <w:lvlText w:val="○"/>
      <w:lvlJc w:val="left"/>
      <w:pPr>
        <w:ind w:left="1440" w:hanging="360"/>
      </w:pPr>
    </w:lvl>
    <w:lvl w:ilvl="2" w:tplc="F03271AC">
      <w:start w:val="1"/>
      <w:numFmt w:val="bullet"/>
      <w:lvlText w:val="■"/>
      <w:lvlJc w:val="left"/>
      <w:pPr>
        <w:ind w:left="2160" w:hanging="360"/>
      </w:pPr>
    </w:lvl>
    <w:lvl w:ilvl="3" w:tplc="3BA0C374">
      <w:start w:val="1"/>
      <w:numFmt w:val="bullet"/>
      <w:lvlText w:val="●"/>
      <w:lvlJc w:val="left"/>
      <w:pPr>
        <w:ind w:left="2880" w:hanging="360"/>
      </w:pPr>
    </w:lvl>
    <w:lvl w:ilvl="4" w:tplc="AC723482">
      <w:start w:val="1"/>
      <w:numFmt w:val="bullet"/>
      <w:lvlText w:val="○"/>
      <w:lvlJc w:val="left"/>
      <w:pPr>
        <w:ind w:left="3600" w:hanging="360"/>
      </w:pPr>
    </w:lvl>
    <w:lvl w:ilvl="5" w:tplc="B8E6C518">
      <w:start w:val="1"/>
      <w:numFmt w:val="bullet"/>
      <w:lvlText w:val="■"/>
      <w:lvlJc w:val="left"/>
      <w:pPr>
        <w:ind w:left="4320" w:hanging="360"/>
      </w:pPr>
    </w:lvl>
    <w:lvl w:ilvl="6" w:tplc="BE1A974C">
      <w:start w:val="1"/>
      <w:numFmt w:val="bullet"/>
      <w:lvlText w:val="●"/>
      <w:lvlJc w:val="left"/>
      <w:pPr>
        <w:ind w:left="5040" w:hanging="360"/>
      </w:pPr>
    </w:lvl>
    <w:lvl w:ilvl="7" w:tplc="B9F2E6EE">
      <w:start w:val="1"/>
      <w:numFmt w:val="bullet"/>
      <w:lvlText w:val="●"/>
      <w:lvlJc w:val="left"/>
      <w:pPr>
        <w:ind w:left="5760" w:hanging="360"/>
      </w:pPr>
    </w:lvl>
    <w:lvl w:ilvl="8" w:tplc="E81C2792">
      <w:start w:val="1"/>
      <w:numFmt w:val="bullet"/>
      <w:lvlText w:val="●"/>
      <w:lvlJc w:val="left"/>
      <w:pPr>
        <w:ind w:left="6480" w:hanging="360"/>
      </w:pPr>
    </w:lvl>
  </w:abstractNum>
  <w:num w:numId="1" w16cid:durableId="16640482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10"/>
    <w:rsid w:val="003A5E3D"/>
    <w:rsid w:val="007D0C71"/>
    <w:rsid w:val="00FF0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C95E"/>
  <w15:docId w15:val="{1D5B922C-9F8C-4146-8C66-44C9A403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600</Words>
  <Characters>3420</Characters>
  <Application>Microsoft Office Word</Application>
  <DocSecurity>4</DocSecurity>
  <Lines>28</Lines>
  <Paragraphs>8</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Investing in your home - the ten-year asset plan</dc:title>
  <dc:creator>Homes for Life Housing Partnership</dc:creator>
  <cp:lastModifiedBy>Caroline Lavery</cp:lastModifiedBy>
  <cp:revision>2</cp:revision>
  <cp:lastPrinted>2026-09-22T13:19:00Z</cp:lastPrinted>
  <dcterms:created xsi:type="dcterms:W3CDTF">2026-09-22T13:22:00Z</dcterms:created>
  <dcterms:modified xsi:type="dcterms:W3CDTF">2026-09-22T13:22:00Z</dcterms:modified>
</cp:coreProperties>
</file>